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84" w:rsidRPr="003B425B" w:rsidRDefault="003B425B" w:rsidP="00B461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Zał. 2- </w:t>
      </w:r>
      <w:r w:rsidR="00B46184" w:rsidRPr="003B425B">
        <w:rPr>
          <w:rFonts w:ascii="Times New Roman" w:hAnsi="Times New Roman" w:cs="Times New Roman"/>
          <w:sz w:val="24"/>
          <w:szCs w:val="24"/>
        </w:rPr>
        <w:t>OPIS PRZEDMIOTU ZAMÓWIENIA – PARAMETRY GRANICZNE</w:t>
      </w:r>
    </w:p>
    <w:p w:rsidR="00B46184" w:rsidRPr="003B425B" w:rsidRDefault="00B46184" w:rsidP="00B46184">
      <w:pPr>
        <w:rPr>
          <w:rFonts w:ascii="Times New Roman" w:hAnsi="Times New Roman" w:cs="Times New Roman"/>
          <w:sz w:val="24"/>
          <w:szCs w:val="24"/>
        </w:rPr>
      </w:pPr>
    </w:p>
    <w:p w:rsidR="00B46184" w:rsidRPr="003B425B" w:rsidRDefault="00B46184" w:rsidP="00B46184">
      <w:pPr>
        <w:rPr>
          <w:rFonts w:ascii="Times New Roman" w:hAnsi="Times New Roman" w:cs="Times New Roman"/>
          <w:sz w:val="24"/>
          <w:szCs w:val="24"/>
        </w:rPr>
      </w:pPr>
      <w:r w:rsidRPr="003B425B">
        <w:rPr>
          <w:rFonts w:ascii="Times New Roman" w:hAnsi="Times New Roman" w:cs="Times New Roman"/>
          <w:b/>
          <w:bCs/>
          <w:sz w:val="24"/>
          <w:szCs w:val="24"/>
        </w:rPr>
        <w:t xml:space="preserve">Zestawienie parametrów i wymagań granicznych dla analizatora </w:t>
      </w:r>
      <w:proofErr w:type="spellStart"/>
      <w:r w:rsidRPr="003B425B">
        <w:rPr>
          <w:rFonts w:ascii="Times New Roman" w:hAnsi="Times New Roman" w:cs="Times New Roman"/>
          <w:b/>
          <w:bCs/>
          <w:sz w:val="24"/>
          <w:szCs w:val="24"/>
        </w:rPr>
        <w:t>koagulologicznego</w:t>
      </w:r>
      <w:proofErr w:type="spellEnd"/>
      <w:r w:rsidRPr="003B425B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B46184" w:rsidRPr="003B425B" w:rsidRDefault="00B46184" w:rsidP="00B4618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36"/>
      </w:tblGrid>
      <w:tr w:rsidR="00B46184" w:rsidRPr="003B425B" w:rsidTr="00B461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 xml:space="preserve">Analizator </w:t>
            </w:r>
          </w:p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Koagulologiczny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Typ:</w:t>
            </w:r>
          </w:p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</w:t>
            </w:r>
          </w:p>
        </w:tc>
      </w:tr>
      <w:tr w:rsidR="00B46184" w:rsidRPr="003B425B" w:rsidTr="00B4618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Kraj pochodzenia</w:t>
            </w:r>
          </w:p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Producent:</w:t>
            </w:r>
          </w:p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</w:t>
            </w:r>
          </w:p>
        </w:tc>
      </w:tr>
    </w:tbl>
    <w:p w:rsidR="00B46184" w:rsidRPr="003B425B" w:rsidRDefault="00B46184" w:rsidP="00B46184">
      <w:pPr>
        <w:rPr>
          <w:rFonts w:ascii="Times New Roman" w:hAnsi="Times New Roman" w:cs="Times New Roman"/>
          <w:sz w:val="24"/>
          <w:szCs w:val="24"/>
        </w:rPr>
      </w:pPr>
    </w:p>
    <w:p w:rsidR="00B46184" w:rsidRPr="003B425B" w:rsidRDefault="00B46184" w:rsidP="00B4618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8"/>
        <w:gridCol w:w="3870"/>
        <w:gridCol w:w="1658"/>
        <w:gridCol w:w="50"/>
        <w:gridCol w:w="2906"/>
      </w:tblGrid>
      <w:tr w:rsidR="00B46184" w:rsidRPr="003B425B" w:rsidTr="00B4618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Parametry graniczne dla analizatorów </w:t>
            </w:r>
            <w:r w:rsidRPr="003B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i odczynników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Potwierdzenie spełnienia warunków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oferowanego parametru</w:t>
            </w:r>
          </w:p>
        </w:tc>
      </w:tr>
      <w:tr w:rsidR="00B46184" w:rsidRPr="003B425B" w:rsidTr="00B4618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 xml:space="preserve">Analizator </w:t>
            </w:r>
            <w:proofErr w:type="spellStart"/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koagulologiczny</w:t>
            </w:r>
            <w:proofErr w:type="spellEnd"/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, nie starszy niż 2013 r</w:t>
            </w:r>
            <w:r w:rsidR="00FA1F14" w:rsidRPr="003B4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84" w:rsidRPr="003B425B" w:rsidTr="00B4618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99" w:rsidRPr="003B425B" w:rsidRDefault="00FA1F14" w:rsidP="00FA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 xml:space="preserve">Możliwość oznaczenia aktywności </w:t>
            </w:r>
            <w:r w:rsidR="00B46184" w:rsidRPr="003B425B">
              <w:rPr>
                <w:rFonts w:ascii="Times New Roman" w:hAnsi="Times New Roman" w:cs="Times New Roman"/>
                <w:sz w:val="24"/>
                <w:szCs w:val="24"/>
              </w:rPr>
              <w:t xml:space="preserve">czynnika VIII </w:t>
            </w: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 xml:space="preserve">metodą </w:t>
            </w:r>
            <w:proofErr w:type="spellStart"/>
            <w:r w:rsidR="00B46184" w:rsidRPr="003B425B">
              <w:rPr>
                <w:rFonts w:ascii="Times New Roman" w:hAnsi="Times New Roman" w:cs="Times New Roman"/>
                <w:sz w:val="24"/>
                <w:szCs w:val="24"/>
              </w:rPr>
              <w:t>chromogenną</w:t>
            </w:r>
            <w:proofErr w:type="spellEnd"/>
            <w:r w:rsidR="00B46184" w:rsidRPr="003B42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14" w:rsidRPr="003B425B" w:rsidTr="00B4618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4" w:rsidRPr="003B425B" w:rsidRDefault="00FA1F1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14" w:rsidRPr="003B425B" w:rsidRDefault="00FA1F14" w:rsidP="00FA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Możliwość oznaczenia stężenia Fibrynogenu oraz czasów : PT, APTT.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14" w:rsidRPr="003B425B" w:rsidRDefault="00FA1F1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14" w:rsidRPr="003B425B" w:rsidRDefault="00FA1F1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14" w:rsidRPr="003B425B" w:rsidTr="00B4618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4" w:rsidRPr="003B425B" w:rsidRDefault="00FA1F1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14" w:rsidRPr="003B425B" w:rsidRDefault="00FA1F14" w:rsidP="00FA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Dostawa odczynników do 7 dni roboczych od złożenia zamówienia.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14" w:rsidRPr="003B425B" w:rsidRDefault="00FA1F1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14" w:rsidRPr="003B425B" w:rsidRDefault="00FA1F1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14" w:rsidRPr="003B425B" w:rsidTr="00B4618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14" w:rsidRPr="003B425B" w:rsidRDefault="00FA1F1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14" w:rsidRPr="003B425B" w:rsidRDefault="00FA1F14" w:rsidP="00FA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Obowiązek informowania Zamawiającego nie później niż 3 miesiące o planowanym wycofaniu odczynnik z produkcji, zmianie składu odczynnika. W razie przerwy w produkcji odczynnika Wykonawca zapewni ciągłość pracy Zamawiającego lub pokryje koszty wykonania badań zleconych na zewnątrz.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14" w:rsidRPr="003B425B" w:rsidRDefault="00FA1F1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14" w:rsidRPr="003B425B" w:rsidRDefault="00FA1F1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84" w:rsidRPr="003B425B" w:rsidTr="00B4618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Analizator wyposażony w czytnik kodów paskowych</w:t>
            </w:r>
            <w:r w:rsidR="00FA1F14" w:rsidRPr="003B425B">
              <w:rPr>
                <w:rFonts w:ascii="Times New Roman" w:hAnsi="Times New Roman" w:cs="Times New Roman"/>
                <w:sz w:val="24"/>
                <w:szCs w:val="24"/>
              </w:rPr>
              <w:t xml:space="preserve"> zgodny ze standardem ISBT128.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84" w:rsidRPr="003B425B" w:rsidTr="00B4618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 xml:space="preserve">Kalibracja nie częściej niż raz na </w:t>
            </w:r>
            <w:r w:rsidR="00FA1F14" w:rsidRPr="003B425B">
              <w:rPr>
                <w:rFonts w:ascii="Times New Roman" w:hAnsi="Times New Roman" w:cs="Times New Roman"/>
                <w:sz w:val="24"/>
                <w:szCs w:val="24"/>
              </w:rPr>
              <w:t xml:space="preserve">nową </w:t>
            </w: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serię danego odczynnika</w:t>
            </w:r>
            <w:r w:rsidR="00FA1F14" w:rsidRPr="003B4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84" w:rsidRPr="003B425B" w:rsidTr="00B4618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 xml:space="preserve">Kontrola jakości na </w:t>
            </w:r>
            <w:r w:rsidR="00937999" w:rsidRPr="003B425B">
              <w:rPr>
                <w:rFonts w:ascii="Times New Roman" w:hAnsi="Times New Roman" w:cs="Times New Roman"/>
                <w:sz w:val="24"/>
                <w:szCs w:val="24"/>
              </w:rPr>
              <w:t>2 poziomach dla Czynnika VIII, Fibrynogenu, PT i  APTT.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84" w:rsidRPr="003B425B" w:rsidTr="00146EF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 xml:space="preserve">Oprogramowanie analizatora wyposażone w bazę danych pacjentów  danych kalibracyjnych (wraz z przechowywaniem krzywych kalibracyjnych) oraz system kontroli jakości wykonywanych badań, z wykresami </w:t>
            </w:r>
            <w:proofErr w:type="spellStart"/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Levey</w:t>
            </w:r>
            <w:proofErr w:type="spellEnd"/>
            <w:r w:rsidRPr="003B425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Jeningsa</w:t>
            </w:r>
            <w:proofErr w:type="spellEnd"/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84" w:rsidRPr="003B425B" w:rsidTr="00146EF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Podgląd krzywych kalibracyjnych i krzywych reakcji próbek badanych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84" w:rsidRPr="003B425B" w:rsidTr="00146EF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84" w:rsidRPr="003B425B" w:rsidRDefault="00B942F2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Materiały kontrolne i kalibratory oraz odczynniki od jednego producenta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84" w:rsidRPr="003B425B" w:rsidTr="00146EF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Bezpłatne naprawy analizatora w czasie trwania umowy Dostępność s</w:t>
            </w:r>
            <w:r w:rsidR="00FA1F14" w:rsidRPr="003B425B">
              <w:rPr>
                <w:rFonts w:ascii="Times New Roman" w:hAnsi="Times New Roman" w:cs="Times New Roman"/>
                <w:sz w:val="24"/>
                <w:szCs w:val="24"/>
              </w:rPr>
              <w:t>erwisu przez 5 dni w tygodniu 24</w:t>
            </w: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 xml:space="preserve"> godziny na dobę. Czas reakcji serwisu do 48 godzin od zgłoszenia awarii.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84" w:rsidRPr="003B425B" w:rsidTr="00146EF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Bezpłatne przeglądy obejmujące wymianę niezbędnych części zużywalnych w okresie trwania umowy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84" w:rsidRPr="003B425B" w:rsidTr="00146EF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Analizator wyposażony w zewnętrzny zasilacz awaryjny UPS podtrzymujący pracę analizatora przez minimum 30 minut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84" w:rsidRPr="003B425B" w:rsidTr="00146EF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Bezpłatne szkolenie użytkowników z zakresu obsługi analizatora w miejscu jego instalacji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84" w:rsidRPr="003B425B" w:rsidTr="00146EF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Bezpłatna aktualizacja oprogramowania w czasie trwania umowy, instrukcja obsługi analizatora w języku polskim(dostarczyć z analizatorem)</w:t>
            </w:r>
            <w:r w:rsidR="00937999" w:rsidRPr="003B4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84" w:rsidRPr="003B425B" w:rsidTr="00146EF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84" w:rsidRPr="003B425B" w:rsidRDefault="00B46184" w:rsidP="0093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 xml:space="preserve">Jednokierunkowa komunikacja analizatora z zewnętrznym komputerowym systemem laboratoryjnym. Wykonawca zamówienia zarówno zapewni możliwość, jak </w:t>
            </w:r>
            <w:r w:rsidRPr="003B42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4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poniesie koszty włączenia oferowanego analizatora do istniejącego systemu komputerowego Laboratorium :</w:t>
            </w:r>
            <w:r w:rsidR="00937999" w:rsidRPr="003B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7999" w:rsidRPr="003B425B">
              <w:rPr>
                <w:rFonts w:ascii="Times New Roman" w:hAnsi="Times New Roman" w:cs="Times New Roman"/>
                <w:sz w:val="24"/>
                <w:szCs w:val="24"/>
              </w:rPr>
              <w:t>ProfLab</w:t>
            </w:r>
            <w:proofErr w:type="spellEnd"/>
            <w:r w:rsidR="00937999" w:rsidRPr="003B4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 xml:space="preserve">firmy  </w:t>
            </w:r>
            <w:r w:rsidR="00937999" w:rsidRPr="003B425B">
              <w:rPr>
                <w:rFonts w:ascii="Times New Roman" w:hAnsi="Times New Roman" w:cs="Times New Roman"/>
                <w:sz w:val="24"/>
                <w:szCs w:val="24"/>
              </w:rPr>
              <w:t>ATD SOFTWARE .</w:t>
            </w:r>
            <w:r w:rsidR="00937999" w:rsidRPr="003B4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7999" w:rsidRPr="003B425B">
              <w:rPr>
                <w:rFonts w:ascii="Times New Roman" w:hAnsi="Times New Roman" w:cs="Times New Roman"/>
                <w:sz w:val="24"/>
                <w:szCs w:val="24"/>
              </w:rPr>
              <w:t>Koszt podłączenia analizatora do LSI ponosi Wykonawca.</w:t>
            </w:r>
            <w:r w:rsidR="00937999" w:rsidRPr="003B4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7999" w:rsidRPr="003B425B">
              <w:rPr>
                <w:rFonts w:ascii="Times New Roman" w:hAnsi="Times New Roman" w:cs="Times New Roman"/>
                <w:sz w:val="24"/>
                <w:szCs w:val="24"/>
              </w:rPr>
              <w:t>Komputer dostarczony z analizatorem z zainstalowanym systemem min. Windows 7, pamięć RAM min. 4GB wraz z drukarką laserową monochromatyczna nie starsza niż z 2016r.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84" w:rsidRPr="003B425B" w:rsidRDefault="00B46184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0D" w:rsidRPr="003B425B" w:rsidTr="00146EF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0D" w:rsidRPr="003B425B" w:rsidRDefault="00F16F0D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D" w:rsidRPr="003B425B" w:rsidRDefault="00F16F0D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Instalacja analizatora do 6 tygodni od daty podpisania umowy.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D" w:rsidRPr="003B425B" w:rsidRDefault="00F16F0D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0D" w:rsidRPr="003B425B" w:rsidRDefault="00F16F0D" w:rsidP="00B4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184" w:rsidRPr="003B425B" w:rsidRDefault="00B46184" w:rsidP="00B46184">
      <w:pPr>
        <w:rPr>
          <w:rFonts w:ascii="Times New Roman" w:hAnsi="Times New Roman" w:cs="Times New Roman"/>
          <w:sz w:val="24"/>
          <w:szCs w:val="24"/>
        </w:rPr>
      </w:pPr>
    </w:p>
    <w:p w:rsidR="00B46184" w:rsidRPr="003B425B" w:rsidRDefault="00B942F2" w:rsidP="00B46184">
      <w:pPr>
        <w:rPr>
          <w:rFonts w:ascii="Times New Roman" w:hAnsi="Times New Roman" w:cs="Times New Roman"/>
          <w:b/>
          <w:sz w:val="24"/>
          <w:szCs w:val="24"/>
        </w:rPr>
      </w:pPr>
      <w:r w:rsidRPr="003B425B">
        <w:rPr>
          <w:rFonts w:ascii="Times New Roman" w:hAnsi="Times New Roman" w:cs="Times New Roman"/>
          <w:b/>
          <w:sz w:val="24"/>
          <w:szCs w:val="24"/>
        </w:rPr>
        <w:t>Dodatkowo wymagane dokumenty dołączone do oferty:</w:t>
      </w:r>
    </w:p>
    <w:p w:rsidR="00E17A93" w:rsidRPr="003B425B" w:rsidRDefault="00E17A93" w:rsidP="00E17A93">
      <w:pPr>
        <w:rPr>
          <w:rFonts w:ascii="Times New Roman" w:hAnsi="Times New Roman" w:cs="Times New Roman"/>
          <w:sz w:val="24"/>
          <w:szCs w:val="24"/>
        </w:rPr>
      </w:pPr>
      <w:r w:rsidRPr="003B425B">
        <w:rPr>
          <w:rFonts w:ascii="Times New Roman" w:hAnsi="Times New Roman" w:cs="Times New Roman"/>
          <w:sz w:val="24"/>
          <w:szCs w:val="24"/>
        </w:rPr>
        <w:t xml:space="preserve">1) wszystkie oferowane odczynniki i instalowane urządzenia muszą posiadać świadectwa dopuszczenia do obrotu na terenie UE (świadectwa CE); </w:t>
      </w:r>
    </w:p>
    <w:p w:rsidR="00E17A93" w:rsidRPr="003B425B" w:rsidRDefault="00E17A93" w:rsidP="00E17A93">
      <w:pPr>
        <w:rPr>
          <w:rFonts w:ascii="Times New Roman" w:hAnsi="Times New Roman" w:cs="Times New Roman"/>
          <w:sz w:val="24"/>
          <w:szCs w:val="24"/>
        </w:rPr>
      </w:pPr>
      <w:r w:rsidRPr="003B425B">
        <w:rPr>
          <w:rFonts w:ascii="Times New Roman" w:hAnsi="Times New Roman" w:cs="Times New Roman"/>
          <w:sz w:val="24"/>
          <w:szCs w:val="24"/>
        </w:rPr>
        <w:t>2) Deklaracja Wytwórcy (Producenta) o spełnieniu wymagań zasadniczych dla wyrobów medycznych oraz Certyfikaty Jednostki Notyfikowanej (jeżeli dotyczy);</w:t>
      </w:r>
    </w:p>
    <w:p w:rsidR="00B46184" w:rsidRPr="003B425B" w:rsidRDefault="00E17A93" w:rsidP="00E17A9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B425B">
        <w:rPr>
          <w:rFonts w:ascii="Times New Roman" w:hAnsi="Times New Roman" w:cs="Times New Roman"/>
          <w:sz w:val="24"/>
          <w:szCs w:val="24"/>
        </w:rPr>
        <w:t>3) dokument potwierdzający dokonanie zgłoszenia wyrobu do Rejestru Wyrobów Medycznych i Podmiotów Odpowiedzialnych za ich wprowadzenie do obrotu i używania – dokument ten ma mieć formę kserokopii podpisanego przez osobę/osoby uprawnione do reprezentowania firmy i zawierać w swej treści datę i numer zgłoszenia do Rejestru</w:t>
      </w:r>
      <w:r w:rsidRPr="003B425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D6F70" w:rsidRPr="003B425B" w:rsidRDefault="00AD6F70" w:rsidP="00E17A93">
      <w:pPr>
        <w:rPr>
          <w:rFonts w:ascii="Times New Roman" w:hAnsi="Times New Roman" w:cs="Times New Roman"/>
          <w:sz w:val="24"/>
          <w:szCs w:val="24"/>
        </w:rPr>
      </w:pPr>
      <w:r w:rsidRPr="003B425B">
        <w:rPr>
          <w:rFonts w:ascii="Times New Roman" w:hAnsi="Times New Roman" w:cs="Times New Roman"/>
          <w:iCs/>
          <w:sz w:val="24"/>
          <w:szCs w:val="24"/>
        </w:rPr>
        <w:t>4) Specyfikacje (ulotka) do każdego z odczynników.</w:t>
      </w:r>
    </w:p>
    <w:p w:rsidR="00B46184" w:rsidRPr="003B425B" w:rsidRDefault="00B46184" w:rsidP="00B46184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B46184" w:rsidRPr="003B425B" w:rsidRDefault="00B46184" w:rsidP="00B46184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3B425B">
        <w:rPr>
          <w:rFonts w:ascii="Times New Roman" w:hAnsi="Times New Roman" w:cs="Times New Roman"/>
          <w:sz w:val="24"/>
          <w:szCs w:val="24"/>
        </w:rPr>
        <w:tab/>
      </w:r>
      <w:r w:rsidRPr="003B425B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867B18" w:rsidRPr="003B425B" w:rsidRDefault="00B46184" w:rsidP="003B425B">
      <w:pPr>
        <w:tabs>
          <w:tab w:val="left" w:pos="5700"/>
        </w:tabs>
        <w:ind w:left="7080"/>
        <w:rPr>
          <w:rFonts w:ascii="Times New Roman" w:hAnsi="Times New Roman" w:cs="Times New Roman"/>
          <w:sz w:val="24"/>
          <w:szCs w:val="24"/>
        </w:rPr>
      </w:pPr>
      <w:r w:rsidRPr="003B4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Data, pieczęć  i podpis oferenta</w:t>
      </w:r>
    </w:p>
    <w:sectPr w:rsidR="00867B18" w:rsidRPr="003B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84"/>
    <w:rsid w:val="00131A19"/>
    <w:rsid w:val="00146EFD"/>
    <w:rsid w:val="003B425B"/>
    <w:rsid w:val="006821DF"/>
    <w:rsid w:val="00937999"/>
    <w:rsid w:val="00AD6F70"/>
    <w:rsid w:val="00B46184"/>
    <w:rsid w:val="00B942F2"/>
    <w:rsid w:val="00E17A93"/>
    <w:rsid w:val="00F16F0D"/>
    <w:rsid w:val="00F90103"/>
    <w:rsid w:val="00FA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B0E76-0BA7-4261-A108-08048C2C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2018-08-07T09:22:00Z</cp:lastPrinted>
  <dcterms:created xsi:type="dcterms:W3CDTF">2019-08-26T12:51:00Z</dcterms:created>
  <dcterms:modified xsi:type="dcterms:W3CDTF">2019-08-26T12:51:00Z</dcterms:modified>
</cp:coreProperties>
</file>